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5A7891F6" w:rsidR="00063767" w:rsidRPr="00063767" w:rsidRDefault="000766AC" w:rsidP="00063767">
      <w:pPr>
        <w:ind w:left="142"/>
        <w:rPr>
          <w:rFonts w:ascii="Helvetica Neue" w:hAnsi="Helvetica Neue"/>
          <w:b/>
          <w:bCs/>
          <w:color w:val="003172"/>
        </w:rPr>
      </w:pPr>
      <w:r>
        <w:rPr>
          <w:rFonts w:ascii="Helvetica Neue" w:hAnsi="Helvetica Neue"/>
          <w:b/>
          <w:bCs/>
          <w:color w:val="003172"/>
        </w:rPr>
        <w:t>Breaking the stigma on anorexia and eating disorders</w:t>
      </w:r>
    </w:p>
    <w:p w14:paraId="6DF40CD7" w14:textId="5D2D131B" w:rsidR="007D2016" w:rsidRPr="007D2016" w:rsidRDefault="007D2016" w:rsidP="007D2016">
      <w:pPr>
        <w:ind w:left="142"/>
        <w:rPr>
          <w:rFonts w:ascii="Helvetica Neue" w:hAnsi="Helvetica Neue"/>
          <w:b/>
          <w:bCs/>
          <w:color w:val="003172"/>
          <w:lang w:val="en-GB"/>
        </w:rPr>
      </w:pPr>
    </w:p>
    <w:p w14:paraId="1E3FC1FE" w14:textId="77777777" w:rsidR="00FC0CDA" w:rsidRPr="00FC0CDA" w:rsidRDefault="00FC0CDA" w:rsidP="00D81878">
      <w:pPr>
        <w:rPr>
          <w:rFonts w:ascii="Helvetica Neue" w:hAnsi="Helvetica Neue"/>
          <w:b/>
          <w:bCs/>
          <w:color w:val="003172"/>
          <w:lang w:val="en-GB"/>
        </w:rPr>
      </w:pPr>
    </w:p>
    <w:p w14:paraId="2D8BB3FB" w14:textId="272DD56D" w:rsidR="0081081D" w:rsidRPr="000766AC" w:rsidRDefault="00F90DFB" w:rsidP="000766AC">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0766AC" w:rsidRPr="000766AC">
        <w:rPr>
          <w:rFonts w:ascii="Helvetica Neue" w:hAnsi="Helvetica Neue"/>
          <w:b/>
          <w:bCs/>
          <w:sz w:val="21"/>
          <w:szCs w:val="21"/>
          <w:lang w:val="en-GB"/>
        </w:rPr>
        <w:t>Have you ever started the new year with high hopes of improving your health, only to feel overwhelmed by the pressure to look a certain way? You're not alone. While setting goals for better wellness is a great idea, focusing too much on weight or appearance can sometimes lead to unintended consequences, like developing an unhealthy relationship with food. Eating disorders, such as Anorexia Nervosa, are more common than many of us realise and can affect anyone, regardless of age, gender, or background.</w:t>
      </w:r>
    </w:p>
    <w:p w14:paraId="3F317861"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Eating disorders aren't just about food; they're deeply connected to how people feel about themselves and their bodies. These conditions can disrupt lives, affecting both physical health and emotional well-being.</w:t>
      </w:r>
    </w:p>
    <w:p w14:paraId="67E3FB9A" w14:textId="77777777" w:rsidR="000766AC" w:rsidRPr="000766AC" w:rsidRDefault="000766AC" w:rsidP="000766AC">
      <w:pPr>
        <w:ind w:left="142"/>
        <w:rPr>
          <w:rFonts w:ascii="Helvetica Neue" w:hAnsi="Helvetica Neue"/>
          <w:bCs/>
          <w:sz w:val="21"/>
          <w:szCs w:val="21"/>
          <w:lang w:val="en-GB"/>
        </w:rPr>
      </w:pPr>
    </w:p>
    <w:p w14:paraId="30381F09" w14:textId="77777777" w:rsidR="000766AC" w:rsidRPr="000766AC" w:rsidRDefault="000766AC" w:rsidP="000766AC">
      <w:pPr>
        <w:ind w:left="142"/>
        <w:rPr>
          <w:rFonts w:ascii="Helvetica Neue" w:hAnsi="Helvetica Neue"/>
          <w:b/>
          <w:bCs/>
          <w:sz w:val="21"/>
          <w:szCs w:val="21"/>
          <w:lang w:val="en-GB"/>
        </w:rPr>
      </w:pPr>
      <w:r w:rsidRPr="000766AC">
        <w:rPr>
          <w:rFonts w:ascii="Helvetica Neue" w:hAnsi="Helvetica Neue"/>
          <w:b/>
          <w:bCs/>
          <w:sz w:val="21"/>
          <w:szCs w:val="21"/>
          <w:lang w:val="en-GB"/>
        </w:rPr>
        <w:t>About Anorexia Nervosa</w:t>
      </w:r>
    </w:p>
    <w:p w14:paraId="740B58CF" w14:textId="77777777" w:rsidR="000766AC" w:rsidRPr="000766AC" w:rsidRDefault="000766AC" w:rsidP="000766AC">
      <w:pPr>
        <w:ind w:left="142"/>
        <w:rPr>
          <w:rFonts w:ascii="Helvetica Neue" w:hAnsi="Helvetica Neue"/>
          <w:bCs/>
          <w:sz w:val="21"/>
          <w:szCs w:val="21"/>
          <w:lang w:val="en-GB"/>
        </w:rPr>
      </w:pPr>
    </w:p>
    <w:p w14:paraId="725AF468"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Anorexia Nervosa is a serious condition where individuals become obsessed with controlling their weight through extreme measures like limiting food intake or excessive exercise. It's not about vanity; it's a complex mental health challenge that can have long-term effects on both the body and mind.</w:t>
      </w:r>
    </w:p>
    <w:p w14:paraId="265F39B0" w14:textId="77777777" w:rsidR="000766AC" w:rsidRPr="000766AC" w:rsidRDefault="000766AC" w:rsidP="000766AC">
      <w:pPr>
        <w:ind w:left="142"/>
        <w:rPr>
          <w:rFonts w:ascii="Helvetica Neue" w:hAnsi="Helvetica Neue"/>
          <w:bCs/>
          <w:sz w:val="21"/>
          <w:szCs w:val="21"/>
          <w:lang w:val="en-GB"/>
        </w:rPr>
      </w:pPr>
    </w:p>
    <w:p w14:paraId="2E34CAD0"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 xml:space="preserve">A </w:t>
      </w:r>
      <w:hyperlink r:id="rId8" w:history="1">
        <w:r w:rsidRPr="000766AC">
          <w:rPr>
            <w:rStyle w:val="Hyperlink"/>
            <w:rFonts w:ascii="Helvetica Neue" w:hAnsi="Helvetica Neue"/>
            <w:bCs/>
            <w:sz w:val="21"/>
            <w:szCs w:val="21"/>
            <w:lang w:val="en-GB"/>
          </w:rPr>
          <w:t>recent article</w:t>
        </w:r>
      </w:hyperlink>
      <w:r w:rsidRPr="000766AC">
        <w:rPr>
          <w:rFonts w:ascii="Helvetica Neue" w:hAnsi="Helvetica Neue"/>
          <w:bCs/>
          <w:sz w:val="21"/>
          <w:szCs w:val="21"/>
          <w:lang w:val="en-GB"/>
        </w:rPr>
        <w:t xml:space="preserve"> by the CMS highlights the long-term effects of anorexia, which include infertility, organ damage, bone density loss, and increased risk of heart failure. With a mortality rate as high as 20%, anorexia is the deadliest mental health disorder. There are two types of Anorexia Nervosa, namely:</w:t>
      </w:r>
    </w:p>
    <w:p w14:paraId="3A55580B" w14:textId="77777777" w:rsidR="000766AC" w:rsidRPr="000766AC" w:rsidRDefault="000766AC" w:rsidP="000766AC">
      <w:pPr>
        <w:ind w:left="142"/>
        <w:rPr>
          <w:rFonts w:ascii="Helvetica Neue" w:hAnsi="Helvetica Neue"/>
          <w:b/>
          <w:bCs/>
          <w:sz w:val="21"/>
          <w:szCs w:val="21"/>
          <w:lang w:val="en-GB"/>
        </w:rPr>
      </w:pPr>
    </w:p>
    <w:p w14:paraId="771F6699" w14:textId="77777777" w:rsidR="000766AC" w:rsidRPr="000766AC" w:rsidRDefault="000766AC" w:rsidP="000766AC">
      <w:pPr>
        <w:numPr>
          <w:ilvl w:val="0"/>
          <w:numId w:val="60"/>
        </w:numPr>
        <w:rPr>
          <w:rFonts w:ascii="Helvetica Neue" w:hAnsi="Helvetica Neue"/>
          <w:bCs/>
          <w:sz w:val="21"/>
          <w:szCs w:val="21"/>
          <w:lang w:val="en-GB"/>
        </w:rPr>
      </w:pPr>
      <w:r w:rsidRPr="000766AC">
        <w:rPr>
          <w:rFonts w:ascii="Helvetica Neue" w:hAnsi="Helvetica Neue"/>
          <w:b/>
          <w:bCs/>
          <w:sz w:val="21"/>
          <w:szCs w:val="21"/>
          <w:lang w:val="en-GB"/>
        </w:rPr>
        <w:t>Restrictive Anorexia Nervosa:</w:t>
      </w:r>
      <w:r w:rsidRPr="000766AC">
        <w:rPr>
          <w:rFonts w:ascii="Helvetica Neue" w:hAnsi="Helvetica Neue"/>
          <w:bCs/>
          <w:sz w:val="21"/>
          <w:szCs w:val="21"/>
          <w:lang w:val="en-GB"/>
        </w:rPr>
        <w:t xml:space="preserve"> This involves severely limiting the amount of food eaten, often alongside over-exercising or using appetite suppressants while being marked by intense malnutrition.</w:t>
      </w:r>
    </w:p>
    <w:p w14:paraId="0AAFFC2A" w14:textId="77777777" w:rsidR="000766AC" w:rsidRPr="000766AC" w:rsidRDefault="000766AC" w:rsidP="000766AC">
      <w:pPr>
        <w:numPr>
          <w:ilvl w:val="0"/>
          <w:numId w:val="60"/>
        </w:numPr>
        <w:rPr>
          <w:rFonts w:ascii="Helvetica Neue" w:hAnsi="Helvetica Neue"/>
          <w:bCs/>
          <w:sz w:val="21"/>
          <w:szCs w:val="21"/>
          <w:lang w:val="en-GB"/>
        </w:rPr>
      </w:pPr>
      <w:r w:rsidRPr="000766AC">
        <w:rPr>
          <w:rFonts w:ascii="Helvetica Neue" w:hAnsi="Helvetica Neue"/>
          <w:b/>
          <w:bCs/>
          <w:sz w:val="21"/>
          <w:szCs w:val="21"/>
          <w:lang w:val="en-GB"/>
        </w:rPr>
        <w:t>Purgative Anorexia Nervosa:</w:t>
      </w:r>
      <w:r w:rsidRPr="000766AC">
        <w:rPr>
          <w:rFonts w:ascii="Helvetica Neue" w:hAnsi="Helvetica Neue"/>
          <w:bCs/>
          <w:sz w:val="21"/>
          <w:szCs w:val="21"/>
          <w:lang w:val="en-GB"/>
        </w:rPr>
        <w:t xml:space="preserve"> In this type, people may binge on food and then purge by vomiting or misusing laxatives and diuretics. Even small amounts of food can trigger these behaviours.</w:t>
      </w:r>
    </w:p>
    <w:p w14:paraId="1C697F0C" w14:textId="77777777" w:rsidR="000766AC" w:rsidRPr="000766AC" w:rsidRDefault="000766AC" w:rsidP="000766AC">
      <w:pPr>
        <w:ind w:left="142"/>
        <w:rPr>
          <w:rFonts w:ascii="Helvetica Neue" w:hAnsi="Helvetica Neue"/>
          <w:b/>
          <w:bCs/>
          <w:sz w:val="21"/>
          <w:szCs w:val="21"/>
          <w:lang w:val="en-GB"/>
        </w:rPr>
      </w:pPr>
    </w:p>
    <w:p w14:paraId="163BB425" w14:textId="77777777" w:rsidR="000766AC" w:rsidRPr="000766AC" w:rsidRDefault="000766AC" w:rsidP="000766AC">
      <w:pPr>
        <w:ind w:left="142"/>
        <w:rPr>
          <w:rFonts w:ascii="Helvetica Neue" w:hAnsi="Helvetica Neue"/>
          <w:b/>
          <w:bCs/>
          <w:sz w:val="21"/>
          <w:szCs w:val="21"/>
          <w:lang w:val="en-GB"/>
        </w:rPr>
      </w:pPr>
      <w:r w:rsidRPr="000766AC">
        <w:rPr>
          <w:rFonts w:ascii="Helvetica Neue" w:hAnsi="Helvetica Neue"/>
          <w:bCs/>
          <w:sz w:val="21"/>
          <w:szCs w:val="21"/>
          <w:lang w:val="en-GB"/>
        </w:rPr>
        <w:t xml:space="preserve">Early detection is key to effective treatment. Here are some </w:t>
      </w:r>
      <w:r w:rsidRPr="000766AC">
        <w:rPr>
          <w:rFonts w:ascii="Helvetica Neue" w:hAnsi="Helvetica Neue"/>
          <w:b/>
          <w:bCs/>
          <w:sz w:val="21"/>
          <w:szCs w:val="21"/>
          <w:lang w:val="en-GB"/>
        </w:rPr>
        <w:t>signs to watch for:</w:t>
      </w:r>
    </w:p>
    <w:p w14:paraId="0B7ABF8B" w14:textId="77777777" w:rsidR="000766AC" w:rsidRPr="000766AC" w:rsidRDefault="000766AC" w:rsidP="000766AC">
      <w:pPr>
        <w:ind w:left="142"/>
        <w:rPr>
          <w:rFonts w:ascii="Helvetica Neue" w:hAnsi="Helvetica Neue"/>
          <w:bCs/>
          <w:sz w:val="21"/>
          <w:szCs w:val="21"/>
          <w:lang w:val="en-GB"/>
        </w:rPr>
      </w:pPr>
    </w:p>
    <w:p w14:paraId="7F12F1A3" w14:textId="77777777" w:rsidR="000766AC" w:rsidRPr="000766AC" w:rsidRDefault="000766AC" w:rsidP="000766AC">
      <w:pPr>
        <w:numPr>
          <w:ilvl w:val="0"/>
          <w:numId w:val="61"/>
        </w:numPr>
        <w:rPr>
          <w:rFonts w:ascii="Helvetica Neue" w:hAnsi="Helvetica Neue"/>
          <w:bCs/>
          <w:sz w:val="21"/>
          <w:szCs w:val="21"/>
          <w:lang w:val="en-GB"/>
        </w:rPr>
      </w:pPr>
      <w:r w:rsidRPr="000766AC">
        <w:rPr>
          <w:rFonts w:ascii="Helvetica Neue" w:hAnsi="Helvetica Neue"/>
          <w:b/>
          <w:bCs/>
          <w:sz w:val="21"/>
          <w:szCs w:val="21"/>
          <w:lang w:val="en-GB"/>
        </w:rPr>
        <w:t>Physical Symptoms:</w:t>
      </w:r>
    </w:p>
    <w:p w14:paraId="14CCF89F"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Rapid weight loss.</w:t>
      </w:r>
    </w:p>
    <w:p w14:paraId="166AAFB9"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Dizziness or fainting.</w:t>
      </w:r>
    </w:p>
    <w:p w14:paraId="15E41C62"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Fatigue and low energy.</w:t>
      </w:r>
    </w:p>
    <w:p w14:paraId="6B219CB6"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lastRenderedPageBreak/>
        <w:t>Digestive issues.</w:t>
      </w:r>
    </w:p>
    <w:p w14:paraId="0385EC67" w14:textId="77777777" w:rsidR="000766AC" w:rsidRPr="000766AC" w:rsidRDefault="000766AC" w:rsidP="000766AC">
      <w:pPr>
        <w:ind w:left="142"/>
        <w:rPr>
          <w:rFonts w:ascii="Helvetica Neue" w:hAnsi="Helvetica Neue"/>
          <w:bCs/>
          <w:sz w:val="21"/>
          <w:szCs w:val="21"/>
          <w:lang w:val="en-GB"/>
        </w:rPr>
      </w:pPr>
    </w:p>
    <w:p w14:paraId="43CAEFAE" w14:textId="77777777" w:rsidR="000766AC" w:rsidRPr="000766AC" w:rsidRDefault="000766AC" w:rsidP="000766AC">
      <w:pPr>
        <w:numPr>
          <w:ilvl w:val="0"/>
          <w:numId w:val="61"/>
        </w:numPr>
        <w:rPr>
          <w:rFonts w:ascii="Helvetica Neue" w:hAnsi="Helvetica Neue"/>
          <w:bCs/>
          <w:sz w:val="21"/>
          <w:szCs w:val="21"/>
          <w:lang w:val="en-GB"/>
        </w:rPr>
      </w:pPr>
      <w:r w:rsidRPr="000766AC">
        <w:rPr>
          <w:rFonts w:ascii="Helvetica Neue" w:hAnsi="Helvetica Neue"/>
          <w:b/>
          <w:bCs/>
          <w:sz w:val="21"/>
          <w:szCs w:val="21"/>
          <w:lang w:val="en-GB"/>
        </w:rPr>
        <w:t>Behavioural Symptoms:</w:t>
      </w:r>
    </w:p>
    <w:p w14:paraId="5B59ABE5"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Avoiding meals or eating tiny portions.</w:t>
      </w:r>
    </w:p>
    <w:p w14:paraId="1A244730"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Exercising excessively, even when tired or injured.</w:t>
      </w:r>
    </w:p>
    <w:p w14:paraId="7CCBAB7D"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Using unhealthy methods to control weight, such as vomiting or laxatives.</w:t>
      </w:r>
    </w:p>
    <w:p w14:paraId="19FD0621" w14:textId="4AA2055F" w:rsidR="000766AC" w:rsidRPr="000766AC" w:rsidRDefault="000766AC" w:rsidP="000766AC">
      <w:pPr>
        <w:rPr>
          <w:rFonts w:ascii="Helvetica Neue" w:hAnsi="Helvetica Neue"/>
          <w:b/>
          <w:bCs/>
          <w:sz w:val="21"/>
          <w:szCs w:val="21"/>
          <w:lang w:val="en-GB"/>
        </w:rPr>
      </w:pPr>
    </w:p>
    <w:p w14:paraId="1AE0DF15" w14:textId="77777777" w:rsidR="000766AC" w:rsidRPr="000766AC" w:rsidRDefault="000766AC" w:rsidP="000766AC">
      <w:pPr>
        <w:numPr>
          <w:ilvl w:val="0"/>
          <w:numId w:val="61"/>
        </w:numPr>
        <w:rPr>
          <w:rFonts w:ascii="Helvetica Neue" w:hAnsi="Helvetica Neue"/>
          <w:bCs/>
          <w:sz w:val="21"/>
          <w:szCs w:val="21"/>
          <w:lang w:val="en-GB"/>
        </w:rPr>
      </w:pPr>
      <w:r w:rsidRPr="000766AC">
        <w:rPr>
          <w:rFonts w:ascii="Helvetica Neue" w:hAnsi="Helvetica Neue"/>
          <w:b/>
          <w:bCs/>
          <w:sz w:val="21"/>
          <w:szCs w:val="21"/>
          <w:lang w:val="en-GB"/>
        </w:rPr>
        <w:t>Psychological Symptoms:</w:t>
      </w:r>
    </w:p>
    <w:p w14:paraId="3FDAD9DB"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Obsessive fear of gaining weight.</w:t>
      </w:r>
    </w:p>
    <w:p w14:paraId="49E48D5C"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Distorted body image – seeing themselves as overweight despite being underweight.</w:t>
      </w:r>
    </w:p>
    <w:p w14:paraId="600FE45A" w14:textId="77777777" w:rsidR="000766AC" w:rsidRPr="000766AC" w:rsidRDefault="000766AC" w:rsidP="000766AC">
      <w:pPr>
        <w:numPr>
          <w:ilvl w:val="1"/>
          <w:numId w:val="61"/>
        </w:numPr>
        <w:rPr>
          <w:rFonts w:ascii="Helvetica Neue" w:hAnsi="Helvetica Neue"/>
          <w:bCs/>
          <w:sz w:val="21"/>
          <w:szCs w:val="21"/>
          <w:lang w:val="en-GB"/>
        </w:rPr>
      </w:pPr>
      <w:r w:rsidRPr="000766AC">
        <w:rPr>
          <w:rFonts w:ascii="Helvetica Neue" w:hAnsi="Helvetica Neue"/>
          <w:bCs/>
          <w:sz w:val="21"/>
          <w:szCs w:val="21"/>
          <w:lang w:val="en-GB"/>
        </w:rPr>
        <w:t>Denial of the severity of their condition.</w:t>
      </w:r>
    </w:p>
    <w:p w14:paraId="5CB83A0B" w14:textId="77777777" w:rsidR="000766AC" w:rsidRPr="000766AC" w:rsidRDefault="000766AC" w:rsidP="000766AC">
      <w:pPr>
        <w:ind w:left="142"/>
        <w:rPr>
          <w:rFonts w:ascii="Helvetica Neue" w:hAnsi="Helvetica Neue"/>
          <w:bCs/>
          <w:sz w:val="21"/>
          <w:szCs w:val="21"/>
          <w:lang w:val="en-GB"/>
        </w:rPr>
      </w:pPr>
    </w:p>
    <w:p w14:paraId="2297A0AC" w14:textId="77777777" w:rsidR="000766AC" w:rsidRPr="000766AC" w:rsidRDefault="000766AC" w:rsidP="000766AC">
      <w:pPr>
        <w:ind w:left="142"/>
        <w:rPr>
          <w:rFonts w:ascii="Helvetica Neue" w:hAnsi="Helvetica Neue"/>
          <w:b/>
          <w:bCs/>
          <w:sz w:val="21"/>
          <w:szCs w:val="21"/>
          <w:lang w:val="en-GB"/>
        </w:rPr>
      </w:pPr>
      <w:r w:rsidRPr="000766AC">
        <w:rPr>
          <w:rFonts w:ascii="Helvetica Neue" w:hAnsi="Helvetica Neue"/>
          <w:b/>
          <w:bCs/>
          <w:sz w:val="21"/>
          <w:szCs w:val="21"/>
          <w:lang w:val="en-GB"/>
        </w:rPr>
        <w:t>Other common eating disorders</w:t>
      </w:r>
    </w:p>
    <w:p w14:paraId="2DFBB6CF" w14:textId="77777777" w:rsidR="000766AC" w:rsidRPr="000766AC" w:rsidRDefault="000766AC" w:rsidP="000766AC">
      <w:pPr>
        <w:ind w:left="142"/>
        <w:rPr>
          <w:rFonts w:ascii="Helvetica Neue" w:hAnsi="Helvetica Neue"/>
          <w:b/>
          <w:bCs/>
          <w:sz w:val="21"/>
          <w:szCs w:val="21"/>
          <w:lang w:val="en-GB"/>
        </w:rPr>
      </w:pPr>
    </w:p>
    <w:p w14:paraId="2CA0F240"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While anorexia is a critical concern, it's not the only eating disorder affecting individuals. Here are two others to be aware of:</w:t>
      </w:r>
    </w:p>
    <w:p w14:paraId="357A4CEE" w14:textId="77777777" w:rsidR="000766AC" w:rsidRPr="000766AC" w:rsidRDefault="000766AC" w:rsidP="000766AC">
      <w:pPr>
        <w:ind w:left="142"/>
        <w:rPr>
          <w:rFonts w:ascii="Helvetica Neue" w:hAnsi="Helvetica Neue"/>
          <w:bCs/>
          <w:sz w:val="21"/>
          <w:szCs w:val="21"/>
          <w:lang w:val="en-GB"/>
        </w:rPr>
      </w:pPr>
    </w:p>
    <w:p w14:paraId="2FE60B79" w14:textId="77777777" w:rsidR="000766AC" w:rsidRPr="000766AC" w:rsidRDefault="000766AC" w:rsidP="000766AC">
      <w:pPr>
        <w:numPr>
          <w:ilvl w:val="0"/>
          <w:numId w:val="62"/>
        </w:numPr>
        <w:rPr>
          <w:rFonts w:ascii="Helvetica Neue" w:hAnsi="Helvetica Neue"/>
          <w:bCs/>
          <w:sz w:val="21"/>
          <w:szCs w:val="21"/>
          <w:lang w:val="en-GB"/>
        </w:rPr>
      </w:pPr>
      <w:r w:rsidRPr="000766AC">
        <w:rPr>
          <w:rFonts w:ascii="Helvetica Neue" w:hAnsi="Helvetica Neue"/>
          <w:b/>
          <w:bCs/>
          <w:sz w:val="21"/>
          <w:szCs w:val="21"/>
          <w:lang w:val="en-GB"/>
        </w:rPr>
        <w:t>Bulimia Nervosa:</w:t>
      </w:r>
      <w:r w:rsidRPr="000766AC">
        <w:rPr>
          <w:rFonts w:ascii="Helvetica Neue" w:hAnsi="Helvetica Neue"/>
          <w:bCs/>
          <w:sz w:val="21"/>
          <w:szCs w:val="21"/>
          <w:lang w:val="en-GB"/>
        </w:rPr>
        <w:t xml:space="preserve"> People with bulimia often cycle between binge eating and purging. They may feel a lack of control during eating episodes and later compensate through vomiting, laxatives, or extreme exercise.</w:t>
      </w:r>
    </w:p>
    <w:p w14:paraId="2752DF99" w14:textId="77777777" w:rsidR="000766AC" w:rsidRPr="000766AC" w:rsidRDefault="000766AC" w:rsidP="000766AC">
      <w:pPr>
        <w:numPr>
          <w:ilvl w:val="0"/>
          <w:numId w:val="62"/>
        </w:numPr>
        <w:rPr>
          <w:rFonts w:ascii="Helvetica Neue" w:hAnsi="Helvetica Neue"/>
          <w:bCs/>
          <w:sz w:val="21"/>
          <w:szCs w:val="21"/>
          <w:lang w:val="en-GB"/>
        </w:rPr>
      </w:pPr>
      <w:r w:rsidRPr="000766AC">
        <w:rPr>
          <w:rFonts w:ascii="Helvetica Neue" w:hAnsi="Helvetica Neue"/>
          <w:b/>
          <w:bCs/>
          <w:sz w:val="21"/>
          <w:szCs w:val="21"/>
          <w:lang w:val="en-GB"/>
        </w:rPr>
        <w:t>Binge-</w:t>
      </w:r>
      <w:proofErr w:type="gramStart"/>
      <w:r w:rsidRPr="000766AC">
        <w:rPr>
          <w:rFonts w:ascii="Helvetica Neue" w:hAnsi="Helvetica Neue"/>
          <w:b/>
          <w:bCs/>
          <w:sz w:val="21"/>
          <w:szCs w:val="21"/>
          <w:lang w:val="en-GB"/>
        </w:rPr>
        <w:t>Eating Disorder</w:t>
      </w:r>
      <w:proofErr w:type="gramEnd"/>
      <w:r w:rsidRPr="000766AC">
        <w:rPr>
          <w:rFonts w:ascii="Helvetica Neue" w:hAnsi="Helvetica Neue"/>
          <w:b/>
          <w:bCs/>
          <w:sz w:val="21"/>
          <w:szCs w:val="21"/>
          <w:lang w:val="en-GB"/>
        </w:rPr>
        <w:t xml:space="preserve"> (BED):</w:t>
      </w:r>
      <w:r w:rsidRPr="000766AC">
        <w:rPr>
          <w:rFonts w:ascii="Helvetica Neue" w:hAnsi="Helvetica Neue"/>
          <w:bCs/>
          <w:sz w:val="21"/>
          <w:szCs w:val="21"/>
          <w:lang w:val="en-GB"/>
        </w:rPr>
        <w:t xml:space="preserve"> Unlike bulimia, BED does not involve purging. Instead, individuals consume large amounts of food in short periods, often feeling guilt or distress afterwards. This condition can lead to obesity and related health challenges.</w:t>
      </w:r>
    </w:p>
    <w:p w14:paraId="3158C4BA" w14:textId="16C5C5F3" w:rsidR="000766AC" w:rsidRPr="000766AC" w:rsidRDefault="003C6C78" w:rsidP="003C6C78">
      <w:pPr>
        <w:tabs>
          <w:tab w:val="left" w:pos="4035"/>
        </w:tabs>
        <w:ind w:left="142"/>
        <w:rPr>
          <w:rFonts w:ascii="Helvetica Neue" w:hAnsi="Helvetica Neue"/>
          <w:bCs/>
          <w:sz w:val="21"/>
          <w:szCs w:val="21"/>
          <w:lang w:val="en-GB"/>
        </w:rPr>
      </w:pPr>
      <w:r>
        <w:rPr>
          <w:rFonts w:ascii="Helvetica Neue" w:hAnsi="Helvetica Neue"/>
          <w:bCs/>
          <w:sz w:val="21"/>
          <w:szCs w:val="21"/>
          <w:lang w:val="en-GB"/>
        </w:rPr>
        <w:tab/>
      </w:r>
    </w:p>
    <w:p w14:paraId="357FECBC" w14:textId="77777777" w:rsidR="000766AC" w:rsidRPr="000766AC" w:rsidRDefault="000766AC" w:rsidP="000766AC">
      <w:pPr>
        <w:ind w:left="142"/>
        <w:rPr>
          <w:rFonts w:ascii="Helvetica Neue" w:hAnsi="Helvetica Neue"/>
          <w:b/>
          <w:bCs/>
          <w:sz w:val="21"/>
          <w:szCs w:val="21"/>
          <w:lang w:val="en-GB"/>
        </w:rPr>
      </w:pPr>
      <w:r w:rsidRPr="000766AC">
        <w:rPr>
          <w:rFonts w:ascii="Helvetica Neue" w:hAnsi="Helvetica Neue"/>
          <w:b/>
          <w:bCs/>
          <w:sz w:val="21"/>
          <w:szCs w:val="21"/>
          <w:lang w:val="en-GB"/>
        </w:rPr>
        <w:t>Medshield's commitment to your wellness</w:t>
      </w:r>
    </w:p>
    <w:p w14:paraId="07A9C7FC" w14:textId="77777777" w:rsidR="000766AC" w:rsidRPr="000766AC" w:rsidRDefault="000766AC" w:rsidP="000766AC">
      <w:pPr>
        <w:ind w:left="142"/>
        <w:rPr>
          <w:rFonts w:ascii="Helvetica Neue" w:hAnsi="Helvetica Neue"/>
          <w:bCs/>
          <w:sz w:val="21"/>
          <w:szCs w:val="21"/>
          <w:lang w:val="en-GB"/>
        </w:rPr>
      </w:pPr>
    </w:p>
    <w:p w14:paraId="1769C04D"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Getting the right help is crucial, and that's where Medshield Medical Scheme comes in. As part of your cover, eating disorders are classified under Prescribed Minimum Benefits (PMBs), ensuring access to necessary care. Medshield offers a range of support for members managing eating disorders.</w:t>
      </w:r>
    </w:p>
    <w:p w14:paraId="4F0314D3" w14:textId="77777777" w:rsidR="000766AC" w:rsidRPr="000766AC" w:rsidRDefault="000766AC" w:rsidP="000766AC">
      <w:pPr>
        <w:ind w:left="142"/>
        <w:rPr>
          <w:rFonts w:ascii="Helvetica Neue" w:hAnsi="Helvetica Neue"/>
          <w:bCs/>
          <w:sz w:val="21"/>
          <w:szCs w:val="21"/>
          <w:lang w:val="en-GB"/>
        </w:rPr>
      </w:pPr>
    </w:p>
    <w:p w14:paraId="4442CE19" w14:textId="77777777" w:rsidR="000766AC" w:rsidRPr="000766AC" w:rsidRDefault="000766AC" w:rsidP="000766AC">
      <w:pPr>
        <w:numPr>
          <w:ilvl w:val="0"/>
          <w:numId w:val="63"/>
        </w:numPr>
        <w:rPr>
          <w:rFonts w:ascii="Helvetica Neue" w:hAnsi="Helvetica Neue"/>
          <w:bCs/>
          <w:sz w:val="21"/>
          <w:szCs w:val="21"/>
          <w:lang w:val="en-GB"/>
        </w:rPr>
      </w:pPr>
      <w:r w:rsidRPr="000766AC">
        <w:rPr>
          <w:rFonts w:ascii="Helvetica Neue" w:hAnsi="Helvetica Neue"/>
          <w:b/>
          <w:bCs/>
          <w:sz w:val="21"/>
          <w:szCs w:val="21"/>
          <w:lang w:val="en-GB"/>
        </w:rPr>
        <w:t>Hospital Care:</w:t>
      </w:r>
      <w:r w:rsidRPr="000766AC">
        <w:rPr>
          <w:rFonts w:ascii="Helvetica Neue" w:hAnsi="Helvetica Neue"/>
          <w:bCs/>
          <w:sz w:val="21"/>
          <w:szCs w:val="21"/>
          <w:lang w:val="en-GB"/>
        </w:rPr>
        <w:t xml:space="preserve"> Up to three weeks of inpatient yearly inpatient treatment for severe cases requiring close monitoring.</w:t>
      </w:r>
    </w:p>
    <w:p w14:paraId="51E9810E" w14:textId="77777777" w:rsidR="000766AC" w:rsidRPr="000766AC" w:rsidRDefault="000766AC" w:rsidP="000766AC">
      <w:pPr>
        <w:numPr>
          <w:ilvl w:val="0"/>
          <w:numId w:val="63"/>
        </w:numPr>
        <w:rPr>
          <w:rFonts w:ascii="Helvetica Neue" w:hAnsi="Helvetica Neue"/>
          <w:bCs/>
          <w:sz w:val="21"/>
          <w:szCs w:val="21"/>
          <w:lang w:val="en-GB"/>
        </w:rPr>
      </w:pPr>
      <w:r w:rsidRPr="000766AC">
        <w:rPr>
          <w:rFonts w:ascii="Helvetica Neue" w:hAnsi="Helvetica Neue"/>
          <w:b/>
          <w:bCs/>
          <w:sz w:val="21"/>
          <w:szCs w:val="21"/>
          <w:lang w:val="en-GB"/>
        </w:rPr>
        <w:t>Outpatient Care:</w:t>
      </w:r>
      <w:r w:rsidRPr="000766AC">
        <w:rPr>
          <w:rFonts w:ascii="Helvetica Neue" w:hAnsi="Helvetica Neue"/>
          <w:bCs/>
          <w:sz w:val="21"/>
          <w:szCs w:val="21"/>
          <w:lang w:val="en-GB"/>
        </w:rPr>
        <w:t xml:space="preserve"> Up to 15 consultations annually with professionals like psychiatrists, psychologists, social workers, and occupational therapists.</w:t>
      </w:r>
    </w:p>
    <w:p w14:paraId="0608C61D" w14:textId="77777777" w:rsidR="000766AC" w:rsidRPr="000766AC" w:rsidRDefault="000766AC" w:rsidP="000766AC">
      <w:pPr>
        <w:numPr>
          <w:ilvl w:val="0"/>
          <w:numId w:val="63"/>
        </w:numPr>
        <w:rPr>
          <w:rFonts w:ascii="Helvetica Neue" w:hAnsi="Helvetica Neue"/>
          <w:bCs/>
          <w:sz w:val="21"/>
          <w:szCs w:val="21"/>
          <w:lang w:val="en-GB"/>
        </w:rPr>
      </w:pPr>
      <w:r w:rsidRPr="000766AC">
        <w:rPr>
          <w:rFonts w:ascii="Helvetica Neue" w:hAnsi="Helvetica Neue"/>
          <w:b/>
          <w:bCs/>
          <w:sz w:val="21"/>
          <w:szCs w:val="21"/>
          <w:lang w:val="en-GB"/>
        </w:rPr>
        <w:t>Medication Support:</w:t>
      </w:r>
      <w:r w:rsidRPr="000766AC">
        <w:rPr>
          <w:rFonts w:ascii="Helvetica Neue" w:hAnsi="Helvetica Neue"/>
          <w:bCs/>
          <w:sz w:val="21"/>
          <w:szCs w:val="21"/>
          <w:lang w:val="en-GB"/>
        </w:rPr>
        <w:t xml:space="preserve"> Coverage for prescribed medications, such as antidepressants, provided they align with the scheme's formulary.</w:t>
      </w:r>
    </w:p>
    <w:p w14:paraId="19A4F9B7" w14:textId="77777777" w:rsidR="000766AC" w:rsidRPr="000766AC" w:rsidRDefault="000766AC" w:rsidP="000766AC">
      <w:pPr>
        <w:numPr>
          <w:ilvl w:val="0"/>
          <w:numId w:val="63"/>
        </w:numPr>
        <w:rPr>
          <w:rFonts w:ascii="Helvetica Neue" w:hAnsi="Helvetica Neue"/>
          <w:bCs/>
          <w:sz w:val="21"/>
          <w:szCs w:val="21"/>
          <w:lang w:val="en-GB"/>
        </w:rPr>
      </w:pPr>
      <w:r w:rsidRPr="000766AC">
        <w:rPr>
          <w:rFonts w:ascii="Helvetica Neue" w:hAnsi="Helvetica Neue"/>
          <w:b/>
          <w:bCs/>
          <w:sz w:val="21"/>
          <w:szCs w:val="21"/>
          <w:lang w:val="en-GB"/>
        </w:rPr>
        <w:t>Designated Service Providers (DSPs):</w:t>
      </w:r>
      <w:r w:rsidRPr="000766AC">
        <w:rPr>
          <w:rFonts w:ascii="Helvetica Neue" w:hAnsi="Helvetica Neue"/>
          <w:bCs/>
          <w:sz w:val="21"/>
          <w:szCs w:val="21"/>
          <w:lang w:val="en-GB"/>
        </w:rPr>
        <w:t xml:space="preserve"> Treatment is available through Medshield's network of providers. Choosing non-DSPs may lead to additional out-of-pocket costs.</w:t>
      </w:r>
    </w:p>
    <w:p w14:paraId="690C9747" w14:textId="77777777" w:rsidR="000766AC" w:rsidRPr="000766AC" w:rsidRDefault="000766AC" w:rsidP="000766AC">
      <w:pPr>
        <w:ind w:left="142"/>
        <w:rPr>
          <w:rFonts w:ascii="Helvetica Neue" w:hAnsi="Helvetica Neue"/>
          <w:bCs/>
          <w:sz w:val="21"/>
          <w:szCs w:val="21"/>
          <w:lang w:val="en-GB"/>
        </w:rPr>
      </w:pPr>
    </w:p>
    <w:p w14:paraId="231468AB"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 xml:space="preserve">If you or someone you care about is struggling with an eating disorder, know that help is available. The journey to recovery begins with reaching out to professionals. Speak with a general practitioner or a specialist experienced in treating eating disorders to develop an appropriate treatment plan. Medshield members can access a wealth of benefits designed to support their recovery journey, so don't hesitate to contact the scheme for guidance. Finally, building a strong support system is invaluable – </w:t>
      </w:r>
      <w:proofErr w:type="gramStart"/>
      <w:r w:rsidRPr="000766AC">
        <w:rPr>
          <w:rFonts w:ascii="Helvetica Neue" w:hAnsi="Helvetica Neue"/>
          <w:bCs/>
          <w:sz w:val="21"/>
          <w:szCs w:val="21"/>
          <w:lang w:val="en-GB"/>
        </w:rPr>
        <w:t>open up</w:t>
      </w:r>
      <w:proofErr w:type="gramEnd"/>
      <w:r w:rsidRPr="000766AC">
        <w:rPr>
          <w:rFonts w:ascii="Helvetica Neue" w:hAnsi="Helvetica Neue"/>
          <w:bCs/>
          <w:sz w:val="21"/>
          <w:szCs w:val="21"/>
          <w:lang w:val="en-GB"/>
        </w:rPr>
        <w:t xml:space="preserve"> to trusted friends and family and consider joining a support group or community resource to stay motivated.</w:t>
      </w:r>
    </w:p>
    <w:p w14:paraId="610034D9" w14:textId="77777777" w:rsidR="000766AC" w:rsidRPr="000766AC" w:rsidRDefault="000766AC" w:rsidP="000766AC">
      <w:pPr>
        <w:ind w:left="142"/>
        <w:rPr>
          <w:rFonts w:ascii="Helvetica Neue" w:hAnsi="Helvetica Neue"/>
          <w:bCs/>
          <w:sz w:val="21"/>
          <w:szCs w:val="21"/>
          <w:lang w:val="en-GB"/>
        </w:rPr>
      </w:pPr>
    </w:p>
    <w:p w14:paraId="5FF842AB"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As you pursue wellness goals, remember that health is more than numbers on a scale. Pay attention to your energy levels, strength, and overall well-being rather than appearance. Aim for realistic and sustainable goals that you can maintain in the long term. Above all, practice kindness toward yourself, celebrate small victories, and don't be too hard on yourself when challenges arise.</w:t>
      </w:r>
    </w:p>
    <w:p w14:paraId="52229228" w14:textId="77777777" w:rsidR="000766AC" w:rsidRPr="000766AC" w:rsidRDefault="000766AC" w:rsidP="000766AC">
      <w:pPr>
        <w:ind w:left="142"/>
        <w:rPr>
          <w:rFonts w:ascii="Helvetica Neue" w:hAnsi="Helvetica Neue"/>
          <w:bCs/>
          <w:sz w:val="21"/>
          <w:szCs w:val="21"/>
          <w:lang w:val="en-GB"/>
        </w:rPr>
      </w:pPr>
    </w:p>
    <w:p w14:paraId="134DE1EC" w14:textId="77777777" w:rsidR="000766AC" w:rsidRPr="000766AC" w:rsidRDefault="000766AC" w:rsidP="000766AC">
      <w:pPr>
        <w:ind w:left="142"/>
        <w:rPr>
          <w:rFonts w:ascii="Helvetica Neue" w:hAnsi="Helvetica Neue"/>
          <w:bCs/>
          <w:sz w:val="21"/>
          <w:szCs w:val="21"/>
          <w:lang w:val="en-GB"/>
        </w:rPr>
      </w:pPr>
      <w:r w:rsidRPr="000766AC">
        <w:rPr>
          <w:rFonts w:ascii="Helvetica Neue" w:hAnsi="Helvetica Neue"/>
          <w:bCs/>
          <w:sz w:val="21"/>
          <w:szCs w:val="21"/>
          <w:lang w:val="en-GB"/>
        </w:rPr>
        <w:t>If you're dealing with an eating disorder or have questions about your benefits, we're just a call away. Let's make 2025 the year of health, balance, and understanding – together.</w:t>
      </w:r>
    </w:p>
    <w:p w14:paraId="4269E3DA" w14:textId="77777777" w:rsidR="00122409" w:rsidRDefault="00122409" w:rsidP="0081081D">
      <w:pPr>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5C0CFA38"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3C6C78">
        <w:rPr>
          <w:rFonts w:ascii="Helvetica Neue" w:hAnsi="Helvetica Neue" w:cs="Calibri"/>
          <w:color w:val="808080" w:themeColor="background1" w:themeShade="80"/>
          <w:sz w:val="21"/>
          <w:szCs w:val="21"/>
          <w:lang w:val="en-GB"/>
        </w:rPr>
        <w:t>754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1"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2"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1570914C">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3F4D5988">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62ADC437">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318BFE76">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44F6223B">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077C41D4">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5E94A49F">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4F2521F5">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1"/>
      <w:headerReference w:type="first" r:id="rId2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E81F" w14:textId="77777777" w:rsidR="00BC2BC6" w:rsidRDefault="00BC2BC6" w:rsidP="005140A3">
      <w:r>
        <w:separator/>
      </w:r>
    </w:p>
  </w:endnote>
  <w:endnote w:type="continuationSeparator" w:id="0">
    <w:p w14:paraId="3C15E841" w14:textId="77777777" w:rsidR="00BC2BC6" w:rsidRDefault="00BC2BC6"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45839" w14:textId="77777777" w:rsidR="00BC2BC6" w:rsidRDefault="00BC2BC6" w:rsidP="005140A3">
      <w:r>
        <w:separator/>
      </w:r>
    </w:p>
  </w:footnote>
  <w:footnote w:type="continuationSeparator" w:id="0">
    <w:p w14:paraId="721DE157" w14:textId="77777777" w:rsidR="00BC2BC6" w:rsidRDefault="00BC2BC6"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7"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44"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0"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2"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6"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0"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1"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5"/>
  </w:num>
  <w:num w:numId="2" w16cid:durableId="1929998688">
    <w:abstractNumId w:val="20"/>
  </w:num>
  <w:num w:numId="3" w16cid:durableId="1232231516">
    <w:abstractNumId w:val="53"/>
  </w:num>
  <w:num w:numId="4" w16cid:durableId="1033387954">
    <w:abstractNumId w:val="43"/>
  </w:num>
  <w:num w:numId="5" w16cid:durableId="1051735443">
    <w:abstractNumId w:val="10"/>
  </w:num>
  <w:num w:numId="6" w16cid:durableId="262080214">
    <w:abstractNumId w:val="52"/>
  </w:num>
  <w:num w:numId="7" w16cid:durableId="1624385064">
    <w:abstractNumId w:val="1"/>
  </w:num>
  <w:num w:numId="8" w16cid:durableId="1437947627">
    <w:abstractNumId w:val="35"/>
  </w:num>
  <w:num w:numId="9" w16cid:durableId="740098256">
    <w:abstractNumId w:val="18"/>
  </w:num>
  <w:num w:numId="10" w16cid:durableId="658312438">
    <w:abstractNumId w:val="61"/>
  </w:num>
  <w:num w:numId="11" w16cid:durableId="621687782">
    <w:abstractNumId w:val="0"/>
  </w:num>
  <w:num w:numId="12" w16cid:durableId="603004783">
    <w:abstractNumId w:val="16"/>
  </w:num>
  <w:num w:numId="13" w16cid:durableId="1226069561">
    <w:abstractNumId w:val="32"/>
  </w:num>
  <w:num w:numId="14" w16cid:durableId="348798524">
    <w:abstractNumId w:val="4"/>
  </w:num>
  <w:num w:numId="15" w16cid:durableId="97259410">
    <w:abstractNumId w:val="56"/>
  </w:num>
  <w:num w:numId="16" w16cid:durableId="334648574">
    <w:abstractNumId w:val="30"/>
  </w:num>
  <w:num w:numId="17" w16cid:durableId="1178499041">
    <w:abstractNumId w:val="25"/>
  </w:num>
  <w:num w:numId="18" w16cid:durableId="217329712">
    <w:abstractNumId w:val="49"/>
  </w:num>
  <w:num w:numId="19" w16cid:durableId="2061245967">
    <w:abstractNumId w:val="39"/>
  </w:num>
  <w:num w:numId="20" w16cid:durableId="259144806">
    <w:abstractNumId w:val="11"/>
  </w:num>
  <w:num w:numId="21" w16cid:durableId="1646860078">
    <w:abstractNumId w:val="41"/>
  </w:num>
  <w:num w:numId="22" w16cid:durableId="463693069">
    <w:abstractNumId w:val="36"/>
  </w:num>
  <w:num w:numId="23" w16cid:durableId="464662659">
    <w:abstractNumId w:val="59"/>
  </w:num>
  <w:num w:numId="24" w16cid:durableId="801843454">
    <w:abstractNumId w:val="54"/>
  </w:num>
  <w:num w:numId="25" w16cid:durableId="307168308">
    <w:abstractNumId w:val="6"/>
  </w:num>
  <w:num w:numId="26" w16cid:durableId="413094014">
    <w:abstractNumId w:val="47"/>
  </w:num>
  <w:num w:numId="27" w16cid:durableId="650134818">
    <w:abstractNumId w:val="28"/>
  </w:num>
  <w:num w:numId="28" w16cid:durableId="981933460">
    <w:abstractNumId w:val="62"/>
  </w:num>
  <w:num w:numId="29" w16cid:durableId="862743858">
    <w:abstractNumId w:val="12"/>
  </w:num>
  <w:num w:numId="30" w16cid:durableId="41949649">
    <w:abstractNumId w:val="38"/>
  </w:num>
  <w:num w:numId="31" w16cid:durableId="1761176046">
    <w:abstractNumId w:val="58"/>
  </w:num>
  <w:num w:numId="32" w16cid:durableId="1148668052">
    <w:abstractNumId w:val="57"/>
  </w:num>
  <w:num w:numId="33" w16cid:durableId="1841962166">
    <w:abstractNumId w:val="24"/>
  </w:num>
  <w:num w:numId="34" w16cid:durableId="1763800468">
    <w:abstractNumId w:val="7"/>
  </w:num>
  <w:num w:numId="35" w16cid:durableId="2094352063">
    <w:abstractNumId w:val="27"/>
  </w:num>
  <w:num w:numId="36" w16cid:durableId="2105683536">
    <w:abstractNumId w:val="40"/>
  </w:num>
  <w:num w:numId="37" w16cid:durableId="1613824361">
    <w:abstractNumId w:val="14"/>
  </w:num>
  <w:num w:numId="38" w16cid:durableId="1710955809">
    <w:abstractNumId w:val="42"/>
  </w:num>
  <w:num w:numId="39" w16cid:durableId="353121556">
    <w:abstractNumId w:val="55"/>
  </w:num>
  <w:num w:numId="40" w16cid:durableId="643782112">
    <w:abstractNumId w:val="2"/>
  </w:num>
  <w:num w:numId="41" w16cid:durableId="898589818">
    <w:abstractNumId w:val="50"/>
  </w:num>
  <w:num w:numId="42" w16cid:durableId="87044706">
    <w:abstractNumId w:val="8"/>
  </w:num>
  <w:num w:numId="43" w16cid:durableId="1107771652">
    <w:abstractNumId w:val="60"/>
  </w:num>
  <w:num w:numId="44" w16cid:durableId="1720781251">
    <w:abstractNumId w:val="17"/>
  </w:num>
  <w:num w:numId="45" w16cid:durableId="802581370">
    <w:abstractNumId w:val="51"/>
  </w:num>
  <w:num w:numId="46" w16cid:durableId="2036073433">
    <w:abstractNumId w:val="34"/>
  </w:num>
  <w:num w:numId="47" w16cid:durableId="1958949192">
    <w:abstractNumId w:val="33"/>
  </w:num>
  <w:num w:numId="48" w16cid:durableId="497575400">
    <w:abstractNumId w:val="26"/>
  </w:num>
  <w:num w:numId="49" w16cid:durableId="983847928">
    <w:abstractNumId w:val="23"/>
  </w:num>
  <w:num w:numId="50" w16cid:durableId="1398822276">
    <w:abstractNumId w:val="5"/>
  </w:num>
  <w:num w:numId="51" w16cid:durableId="598099676">
    <w:abstractNumId w:val="44"/>
  </w:num>
  <w:num w:numId="52" w16cid:durableId="1202521396">
    <w:abstractNumId w:val="45"/>
  </w:num>
  <w:num w:numId="53" w16cid:durableId="950824143">
    <w:abstractNumId w:val="19"/>
  </w:num>
  <w:num w:numId="54" w16cid:durableId="1323316177">
    <w:abstractNumId w:val="3"/>
  </w:num>
  <w:num w:numId="55" w16cid:durableId="1817598783">
    <w:abstractNumId w:val="21"/>
  </w:num>
  <w:num w:numId="56" w16cid:durableId="1406487501">
    <w:abstractNumId w:val="31"/>
  </w:num>
  <w:num w:numId="57" w16cid:durableId="1374307068">
    <w:abstractNumId w:val="13"/>
  </w:num>
  <w:num w:numId="58" w16cid:durableId="1804620789">
    <w:abstractNumId w:val="22"/>
  </w:num>
  <w:num w:numId="59" w16cid:durableId="506487080">
    <w:abstractNumId w:val="9"/>
  </w:num>
  <w:num w:numId="60" w16cid:durableId="1588154269">
    <w:abstractNumId w:val="46"/>
  </w:num>
  <w:num w:numId="61" w16cid:durableId="1841118523">
    <w:abstractNumId w:val="48"/>
  </w:num>
  <w:num w:numId="62" w16cid:durableId="1623268518">
    <w:abstractNumId w:val="37"/>
  </w:num>
  <w:num w:numId="63" w16cid:durableId="11181870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77A1A"/>
    <w:rsid w:val="00384D77"/>
    <w:rsid w:val="00386910"/>
    <w:rsid w:val="003957E9"/>
    <w:rsid w:val="003A2632"/>
    <w:rsid w:val="003A3EB8"/>
    <w:rsid w:val="003A6D5C"/>
    <w:rsid w:val="003B038E"/>
    <w:rsid w:val="003B23C7"/>
    <w:rsid w:val="003C0ABE"/>
    <w:rsid w:val="003C60D3"/>
    <w:rsid w:val="003C6662"/>
    <w:rsid w:val="003C6C78"/>
    <w:rsid w:val="003D5FE3"/>
    <w:rsid w:val="003E2F67"/>
    <w:rsid w:val="003E776E"/>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42C1"/>
    <w:rsid w:val="00566C30"/>
    <w:rsid w:val="0057286B"/>
    <w:rsid w:val="00573073"/>
    <w:rsid w:val="00573905"/>
    <w:rsid w:val="0057451F"/>
    <w:rsid w:val="00575B87"/>
    <w:rsid w:val="005832B2"/>
    <w:rsid w:val="005A63F4"/>
    <w:rsid w:val="005B606F"/>
    <w:rsid w:val="005B614F"/>
    <w:rsid w:val="005E1AF3"/>
    <w:rsid w:val="005E27EB"/>
    <w:rsid w:val="005E5B7C"/>
    <w:rsid w:val="005F617D"/>
    <w:rsid w:val="005F79B2"/>
    <w:rsid w:val="005F7E7A"/>
    <w:rsid w:val="00606320"/>
    <w:rsid w:val="00613D57"/>
    <w:rsid w:val="00617CE9"/>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30643"/>
    <w:rsid w:val="0073304C"/>
    <w:rsid w:val="007413C0"/>
    <w:rsid w:val="0074611C"/>
    <w:rsid w:val="007627F6"/>
    <w:rsid w:val="00765703"/>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081D"/>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78ED"/>
    <w:rsid w:val="00880058"/>
    <w:rsid w:val="00883F75"/>
    <w:rsid w:val="0088511F"/>
    <w:rsid w:val="008907EC"/>
    <w:rsid w:val="00895154"/>
    <w:rsid w:val="00896000"/>
    <w:rsid w:val="00896D98"/>
    <w:rsid w:val="008A256F"/>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B58B7"/>
    <w:rsid w:val="009C1173"/>
    <w:rsid w:val="009C210C"/>
    <w:rsid w:val="009C3DF1"/>
    <w:rsid w:val="009E2FA5"/>
    <w:rsid w:val="009F73D8"/>
    <w:rsid w:val="009F749F"/>
    <w:rsid w:val="00A1449E"/>
    <w:rsid w:val="00A250C8"/>
    <w:rsid w:val="00A34EBE"/>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schemes.co.za/cmscript-on-anorexia/"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shield.co.za/2025-products/2025-benefit-option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lilanes@medshield.co.za"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1726</Words>
  <Characters>10101</Characters>
  <Application>Microsoft Office Word</Application>
  <DocSecurity>0</DocSecurity>
  <Lines>206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2025-01-24T07:39:00Z</dcterms:created>
  <dcterms:modified xsi:type="dcterms:W3CDTF">2025-01-24T07:54:00Z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